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5B" w:rsidRPr="00D833E3" w:rsidRDefault="00FC335B" w:rsidP="007A57BB">
      <w:pPr>
        <w:keepNext/>
        <w:keepLines/>
        <w:spacing w:before="120" w:after="120" w:line="240" w:lineRule="auto"/>
        <w:ind w:firstLine="720"/>
        <w:outlineLvl w:val="0"/>
        <w:rPr>
          <w:rFonts w:ascii="Times New Roman" w:eastAsia="PMingLiU" w:hAnsi="Times New Roman" w:cs="Times New Roman"/>
          <w:b/>
          <w:i/>
          <w:sz w:val="28"/>
          <w:szCs w:val="28"/>
          <w:lang w:val="hu-HU"/>
        </w:rPr>
      </w:pPr>
      <w:bookmarkStart w:id="0" w:name="_GoBack"/>
      <w:bookmarkEnd w:id="0"/>
      <w:r w:rsidRPr="00D833E3">
        <w:rPr>
          <w:rFonts w:ascii="Times New Roman" w:eastAsiaTheme="majorEastAsia" w:hAnsi="Times New Roman" w:cs="Times New Roman"/>
          <w:b/>
          <w:bCs/>
          <w:sz w:val="24"/>
          <w:szCs w:val="24"/>
          <w:lang w:val="hu-HU"/>
        </w:rPr>
        <w:t xml:space="preserve">VỐN CHỦ SỞ HỮU </w:t>
      </w:r>
      <w:r w:rsidRPr="00D833E3">
        <w:rPr>
          <w:rFonts w:ascii="Times New Roman" w:eastAsia="PMingLiU" w:hAnsi="Times New Roman" w:cs="Times New Roman"/>
          <w:b/>
          <w:sz w:val="24"/>
          <w:szCs w:val="24"/>
          <w:lang w:val="hu-HU"/>
        </w:rPr>
        <w:t>(Equity)</w:t>
      </w:r>
      <w:r w:rsidR="008539B1" w:rsidRPr="00D833E3">
        <w:rPr>
          <w:rFonts w:ascii="Times New Roman" w:eastAsiaTheme="majorEastAsia" w:hAnsi="Times New Roman" w:cs="Times New Roman"/>
          <w:bCs/>
          <w:sz w:val="28"/>
          <w:szCs w:val="28"/>
          <w:lang w:val="hu-HU"/>
        </w:rPr>
        <w:t>,</w:t>
      </w:r>
      <w:r w:rsidR="008539B1" w:rsidRPr="00D833E3">
        <w:rPr>
          <w:rFonts w:ascii="Times New Roman" w:eastAsiaTheme="majorEastAsia" w:hAnsi="Times New Roman" w:cs="Times New Roman"/>
          <w:b/>
          <w:bCs/>
          <w:sz w:val="28"/>
          <w:szCs w:val="28"/>
          <w:lang w:val="hu-HU"/>
        </w:rPr>
        <w:t xml:space="preserve"> </w:t>
      </w:r>
      <w:r w:rsidRPr="00D833E3">
        <w:rPr>
          <w:rFonts w:ascii="Times New Roman" w:eastAsia="PMingLiU" w:hAnsi="Times New Roman" w:cs="Times New Roman"/>
          <w:sz w:val="28"/>
          <w:szCs w:val="28"/>
          <w:lang w:val="hu-HU"/>
        </w:rPr>
        <w:t xml:space="preserve">phần lợi ích còn lại của tài sản của đơn vị sau khi trừ các khoản nợ phải trả. </w:t>
      </w:r>
      <w:r w:rsidR="0080204D" w:rsidRPr="00D833E3">
        <w:rPr>
          <w:rFonts w:ascii="Times New Roman" w:eastAsia="PMingLiU" w:hAnsi="Times New Roman" w:cs="Times New Roman"/>
          <w:b/>
          <w:i/>
          <w:sz w:val="28"/>
          <w:szCs w:val="28"/>
          <w:lang w:val="hu-HU"/>
        </w:rPr>
        <w:t xml:space="preserve">    </w:t>
      </w:r>
    </w:p>
    <w:p w:rsidR="008539B1" w:rsidRPr="00D833E3" w:rsidRDefault="009A304B" w:rsidP="007A57BB">
      <w:pPr>
        <w:widowControl w:val="0"/>
        <w:spacing w:before="120" w:after="120" w:line="240" w:lineRule="auto"/>
        <w:ind w:firstLine="720"/>
        <w:jc w:val="both"/>
        <w:rPr>
          <w:rFonts w:ascii="Times New Roman" w:eastAsia="PMingLiU" w:hAnsi="Times New Roman" w:cs="Times New Roman"/>
          <w:sz w:val="28"/>
          <w:szCs w:val="28"/>
          <w:lang w:val="hu-HU"/>
        </w:rPr>
      </w:pPr>
      <w:r w:rsidRPr="00D833E3">
        <w:rPr>
          <w:rFonts w:ascii="Times New Roman" w:eastAsia="PMingLiU" w:hAnsi="Times New Roman" w:cs="Times New Roman"/>
          <w:sz w:val="28"/>
          <w:szCs w:val="28"/>
          <w:lang w:val="hu-HU"/>
        </w:rPr>
        <w:t xml:space="preserve">Khi khái niệm đơn vị kế toán hình thành dẫn đến có sự tách biệt giữa tài sản, nợ phải trả của đơn vị và của cá nhân chủ sở hữu thì khái niệm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được sử dụng để chỉ số vốn mà chủ sở hữu góp vào đơn vị kế toán là các doanh nghiệp. Khái niệm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hình thành đã hoàn thiện nhận thức về các đối tượng kế toán và mối quan hệ giữa các đối tượng này, làm tiền đề cho việc phát triển các phương pháp kế toán, trong đó có sự ra đời của phương pháp ghi kép trong kế toán. Khái niệm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đã được hình thành từ khoảng thế kỷ 12 và dần được sử dụng phổ biến trong loại hình kế toán động.</w:t>
      </w:r>
    </w:p>
    <w:p w:rsidR="0080204D" w:rsidRPr="00D833E3" w:rsidRDefault="009A304B" w:rsidP="007A57BB">
      <w:pPr>
        <w:widowControl w:val="0"/>
        <w:spacing w:before="120" w:after="120" w:line="240" w:lineRule="auto"/>
        <w:ind w:firstLine="720"/>
        <w:jc w:val="both"/>
        <w:rPr>
          <w:rFonts w:ascii="Times New Roman" w:eastAsia="PMingLiU" w:hAnsi="Times New Roman" w:cs="Times New Roman"/>
          <w:sz w:val="28"/>
          <w:szCs w:val="28"/>
          <w:lang w:val="hu-HU"/>
        </w:rPr>
      </w:pPr>
      <w:r w:rsidRPr="00D833E3">
        <w:rPr>
          <w:rFonts w:ascii="Times New Roman" w:eastAsia="PMingLiU" w:hAnsi="Times New Roman" w:cs="Times New Roman"/>
          <w:sz w:val="28"/>
          <w:szCs w:val="28"/>
          <w:lang w:val="hu-HU"/>
        </w:rPr>
        <w:t xml:space="preserve">Về cơ bản, các nhà nghiên cứu lý thuyết cũng như các tổ chức lập quy về kế toán đều có cách tiếp cận tương đồng trong việc đưa ra định nghĩa về </w:t>
      </w:r>
      <w:r w:rsidR="00384D84" w:rsidRPr="00D833E3">
        <w:rPr>
          <w:rFonts w:ascii="Times New Roman" w:eastAsia="PMingLiU" w:hAnsi="Times New Roman" w:cs="Times New Roman"/>
          <w:sz w:val="28"/>
          <w:szCs w:val="28"/>
          <w:lang w:val="hu-HU"/>
        </w:rPr>
        <w:t>VCSH</w:t>
      </w:r>
      <w:r w:rsidR="00EA4D1C">
        <w:rPr>
          <w:rFonts w:ascii="Times New Roman" w:eastAsia="PMingLiU" w:hAnsi="Times New Roman" w:cs="Times New Roman"/>
          <w:sz w:val="28"/>
          <w:szCs w:val="28"/>
          <w:lang w:val="hu-HU"/>
        </w:rPr>
        <w:t xml:space="preserve">. </w:t>
      </w:r>
      <w:r w:rsidRPr="00D833E3">
        <w:rPr>
          <w:rFonts w:ascii="Times New Roman" w:eastAsia="PMingLiU" w:hAnsi="Times New Roman" w:cs="Times New Roman"/>
          <w:sz w:val="28"/>
          <w:szCs w:val="28"/>
          <w:lang w:val="hu-HU"/>
        </w:rPr>
        <w:t xml:space="preserve">Tuy nhiên, một trong những vấn đề quan trọng là xác định và phân biệt các yếu tố cấu thành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để trình bày trên </w:t>
      </w:r>
      <w:r w:rsidR="00EA4D1C">
        <w:rPr>
          <w:rFonts w:ascii="Times New Roman" w:eastAsia="PMingLiU" w:hAnsi="Times New Roman" w:cs="Times New Roman"/>
          <w:sz w:val="28"/>
          <w:szCs w:val="28"/>
          <w:lang w:val="hu-HU"/>
        </w:rPr>
        <w:t>báo cáo tài chính</w:t>
      </w:r>
      <w:r w:rsidRPr="00D833E3">
        <w:rPr>
          <w:rFonts w:ascii="Times New Roman" w:eastAsia="PMingLiU" w:hAnsi="Times New Roman" w:cs="Times New Roman"/>
          <w:sz w:val="28"/>
          <w:szCs w:val="28"/>
          <w:lang w:val="hu-HU"/>
        </w:rPr>
        <w:t xml:space="preserve"> lại có những cách diễn đạt khác nhau.</w:t>
      </w:r>
    </w:p>
    <w:p w:rsidR="0080204D" w:rsidRPr="00D833E3" w:rsidRDefault="009A304B" w:rsidP="007A57BB">
      <w:pPr>
        <w:widowControl w:val="0"/>
        <w:spacing w:before="120" w:after="120" w:line="240" w:lineRule="auto"/>
        <w:ind w:firstLine="720"/>
        <w:jc w:val="both"/>
        <w:rPr>
          <w:rFonts w:ascii="Times New Roman" w:eastAsia="PMingLiU" w:hAnsi="Times New Roman" w:cs="Times New Roman"/>
          <w:sz w:val="28"/>
          <w:szCs w:val="28"/>
          <w:lang w:val="hu-HU"/>
        </w:rPr>
      </w:pPr>
      <w:r w:rsidRPr="00D833E3">
        <w:rPr>
          <w:rFonts w:ascii="Times New Roman" w:eastAsia="PMingLiU" w:hAnsi="Times New Roman" w:cs="Times New Roman"/>
          <w:sz w:val="28"/>
          <w:szCs w:val="28"/>
          <w:lang w:val="hu-HU"/>
        </w:rPr>
        <w:t xml:space="preserve">Trong tuyên bố về các khái niệm cơ bản năm 1980 và 1985, FASB đưa ra định nghĩa về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đồng thời làm rõ hai khái niệm quan trọng liên quan đến việc thay đổi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bao gồm: (i) Đầu tư của chủ sở hữu là sự gia tăng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của doanh nghiệp bằng việc chủ sở hữu chuyển giao một lợi ích để tăng quyền sở hữu; (ii) Phân phối cho chủ sở hữu là sự giảm đi của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thông qua việc chuyển giao tài sản, dịch vụ hoặc phát sinh khoản nợ phải trả đối với chủ sở hữu. (iii) Lợi nhuận toàn diện bao gồm tất cả sự thay đổi của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trong kỳ, không bao gồm việc đầu tư của chủ sở hữu hoặc phân phối cho chủ sở hữu.</w:t>
      </w:r>
    </w:p>
    <w:p w:rsidR="0080204D" w:rsidRPr="00D833E3" w:rsidRDefault="009A304B" w:rsidP="007A57BB">
      <w:pPr>
        <w:widowControl w:val="0"/>
        <w:spacing w:before="120" w:after="120" w:line="240" w:lineRule="auto"/>
        <w:ind w:firstLine="720"/>
        <w:jc w:val="both"/>
        <w:rPr>
          <w:rFonts w:ascii="Times New Roman" w:eastAsia="PMingLiU" w:hAnsi="Times New Roman" w:cs="Times New Roman"/>
          <w:sz w:val="28"/>
          <w:szCs w:val="28"/>
          <w:lang w:val="hu-HU"/>
        </w:rPr>
      </w:pPr>
      <w:r w:rsidRPr="00D833E3">
        <w:rPr>
          <w:rFonts w:ascii="Times New Roman" w:eastAsia="PMingLiU" w:hAnsi="Times New Roman" w:cs="Times New Roman"/>
          <w:sz w:val="28"/>
          <w:szCs w:val="28"/>
          <w:lang w:val="hu-HU"/>
        </w:rPr>
        <w:t>Trong khuôn mẫu lý thuyết ban hành năm 1989</w:t>
      </w:r>
      <w:r w:rsidR="0080204D" w:rsidRPr="00D833E3">
        <w:rPr>
          <w:rFonts w:ascii="Times New Roman" w:eastAsia="PMingLiU" w:hAnsi="Times New Roman" w:cs="Times New Roman"/>
          <w:sz w:val="28"/>
          <w:szCs w:val="28"/>
          <w:vertAlign w:val="superscript"/>
          <w:lang w:val="en-US"/>
        </w:rPr>
        <w:footnoteReference w:id="1"/>
      </w:r>
      <w:r w:rsidR="0080204D" w:rsidRPr="00D833E3">
        <w:rPr>
          <w:rFonts w:ascii="Times New Roman" w:eastAsia="PMingLiU" w:hAnsi="Times New Roman" w:cs="Times New Roman"/>
          <w:sz w:val="28"/>
          <w:szCs w:val="28"/>
          <w:lang w:val="hu-HU"/>
        </w:rPr>
        <w:t>, IASB phân chia các yếu tố c</w:t>
      </w:r>
      <w:r w:rsidRPr="00D833E3">
        <w:rPr>
          <w:rFonts w:ascii="Times New Roman" w:eastAsia="PMingLiU" w:hAnsi="Times New Roman" w:cs="Times New Roman"/>
          <w:sz w:val="28"/>
          <w:szCs w:val="28"/>
          <w:lang w:val="hu-HU"/>
        </w:rPr>
        <w:t xml:space="preserve">ấu thành của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bao gồm: </w:t>
      </w:r>
    </w:p>
    <w:p w:rsidR="0080204D" w:rsidRPr="00D833E3" w:rsidRDefault="009A304B" w:rsidP="007A57BB">
      <w:pPr>
        <w:widowControl w:val="0"/>
        <w:spacing w:before="120" w:after="120" w:line="240" w:lineRule="auto"/>
        <w:ind w:firstLine="720"/>
        <w:jc w:val="both"/>
        <w:rPr>
          <w:rFonts w:ascii="Times New Roman" w:eastAsia="PMingLiU" w:hAnsi="Times New Roman" w:cs="Times New Roman"/>
          <w:sz w:val="28"/>
          <w:szCs w:val="28"/>
          <w:lang w:val="hu-HU"/>
        </w:rPr>
      </w:pPr>
      <w:r w:rsidRPr="00D833E3">
        <w:rPr>
          <w:rFonts w:ascii="Times New Roman" w:eastAsia="PMingLiU" w:hAnsi="Times New Roman" w:cs="Times New Roman"/>
          <w:sz w:val="28"/>
          <w:szCs w:val="28"/>
          <w:lang w:val="hu-HU"/>
        </w:rPr>
        <w:t xml:space="preserve">(i) Vốn góp của chủ sở hữu bao gồm vốn góp lần đầu khi thành lập doanh nghiệp và vốn góp bổ sung trong quá trình hoạt động của các chủ sở hữu dưới các hình thức góp vốn khác nhau (góp vốn trực tiếp hoặc thông qua việc mua cổ phần do công ty phát hành); </w:t>
      </w:r>
    </w:p>
    <w:p w:rsidR="0080204D" w:rsidRPr="00D833E3" w:rsidRDefault="009A304B" w:rsidP="007A57BB">
      <w:pPr>
        <w:widowControl w:val="0"/>
        <w:spacing w:before="120" w:after="120" w:line="240" w:lineRule="auto"/>
        <w:ind w:firstLine="720"/>
        <w:jc w:val="both"/>
        <w:rPr>
          <w:rFonts w:ascii="Times New Roman" w:eastAsia="PMingLiU" w:hAnsi="Times New Roman" w:cs="Times New Roman"/>
          <w:sz w:val="28"/>
          <w:szCs w:val="28"/>
          <w:lang w:val="hu-HU"/>
        </w:rPr>
      </w:pPr>
      <w:r w:rsidRPr="00D833E3">
        <w:rPr>
          <w:rFonts w:ascii="Times New Roman" w:eastAsia="PMingLiU" w:hAnsi="Times New Roman" w:cs="Times New Roman"/>
          <w:sz w:val="28"/>
          <w:szCs w:val="28"/>
          <w:lang w:val="hu-HU"/>
        </w:rPr>
        <w:t xml:space="preserve">(ii) Các khoản dự trữ là các khoản gia tăng của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không kể số vốn góp bổ sung trực tiếp từ các chủ sở hữu. Các khoản dự trữ lại được phân chia chi tiết thành: các khoản dự trữ có thể phân phối và các khoản dự trữ không phân phối. </w:t>
      </w:r>
    </w:p>
    <w:p w:rsidR="0080204D" w:rsidRPr="00D833E3" w:rsidRDefault="009A304B" w:rsidP="007A57BB">
      <w:pPr>
        <w:widowControl w:val="0"/>
        <w:spacing w:before="120" w:after="120" w:line="240" w:lineRule="auto"/>
        <w:ind w:firstLine="720"/>
        <w:jc w:val="both"/>
        <w:rPr>
          <w:rFonts w:ascii="Times New Roman" w:eastAsia="PMingLiU" w:hAnsi="Times New Roman" w:cs="Times New Roman"/>
          <w:sz w:val="28"/>
          <w:szCs w:val="28"/>
          <w:lang w:val="hu-HU"/>
        </w:rPr>
      </w:pPr>
      <w:r w:rsidRPr="00D833E3">
        <w:rPr>
          <w:rFonts w:ascii="Times New Roman" w:eastAsia="PMingLiU" w:hAnsi="Times New Roman" w:cs="Times New Roman"/>
          <w:sz w:val="28"/>
          <w:szCs w:val="28"/>
          <w:lang w:val="hu-HU"/>
        </w:rPr>
        <w:t xml:space="preserve">Theo </w:t>
      </w:r>
      <w:r w:rsidR="00095544">
        <w:rPr>
          <w:rFonts w:ascii="Times New Roman" w:eastAsia="PMingLiU" w:hAnsi="Times New Roman" w:cs="Times New Roman"/>
          <w:sz w:val="28"/>
          <w:szCs w:val="28"/>
          <w:lang w:val="hu-HU"/>
        </w:rPr>
        <w:t>C</w:t>
      </w:r>
      <w:r w:rsidRPr="00D833E3">
        <w:rPr>
          <w:rFonts w:ascii="Times New Roman" w:eastAsia="PMingLiU" w:hAnsi="Times New Roman" w:cs="Times New Roman"/>
          <w:sz w:val="28"/>
          <w:szCs w:val="28"/>
          <w:lang w:val="hu-HU"/>
        </w:rPr>
        <w:t xml:space="preserve">huẩn mực kế toán Việt Nam số 21 – Trình bày báo cáo tài chính, </w:t>
      </w:r>
      <w:r w:rsidR="00384D84" w:rsidRPr="00D833E3">
        <w:rPr>
          <w:rFonts w:ascii="Times New Roman" w:eastAsia="PMingLiU" w:hAnsi="Times New Roman" w:cs="Times New Roman"/>
          <w:sz w:val="28"/>
          <w:szCs w:val="28"/>
          <w:lang w:val="hu-HU"/>
        </w:rPr>
        <w:t>VCSH</w:t>
      </w:r>
      <w:r w:rsidRPr="00D833E3">
        <w:rPr>
          <w:rFonts w:ascii="Times New Roman" w:eastAsia="PMingLiU" w:hAnsi="Times New Roman" w:cs="Times New Roman"/>
          <w:sz w:val="28"/>
          <w:szCs w:val="28"/>
          <w:lang w:val="hu-HU"/>
        </w:rPr>
        <w:t xml:space="preserve"> được phản ảnh trong Bảng cân đối kế toán, gồm: vốn </w:t>
      </w:r>
      <w:r w:rsidR="00CF08BF">
        <w:rPr>
          <w:rFonts w:ascii="Times New Roman" w:eastAsia="PMingLiU" w:hAnsi="Times New Roman" w:cs="Times New Roman"/>
          <w:sz w:val="28"/>
          <w:szCs w:val="28"/>
          <w:lang w:val="hu-HU"/>
        </w:rPr>
        <w:t xml:space="preserve">góp </w:t>
      </w:r>
      <w:r w:rsidRPr="00D833E3">
        <w:rPr>
          <w:rFonts w:ascii="Times New Roman" w:eastAsia="PMingLiU" w:hAnsi="Times New Roman" w:cs="Times New Roman"/>
          <w:sz w:val="28"/>
          <w:szCs w:val="28"/>
          <w:lang w:val="hu-HU"/>
        </w:rPr>
        <w:t xml:space="preserve">của các nhà đầu tư, thặng dư vốn cổ phần, lợi nhuận giữ lại, các quỹ, lợi nhuận chưa phân </w:t>
      </w:r>
      <w:r w:rsidRPr="00D833E3">
        <w:rPr>
          <w:rFonts w:ascii="Times New Roman" w:eastAsia="PMingLiU" w:hAnsi="Times New Roman" w:cs="Times New Roman"/>
          <w:sz w:val="28"/>
          <w:szCs w:val="28"/>
          <w:lang w:val="hu-HU"/>
        </w:rPr>
        <w:lastRenderedPageBreak/>
        <w:t>phối, chênh lệch tỷ giá và chênh lệch đánh giá lại tài sản.</w:t>
      </w:r>
    </w:p>
    <w:p w:rsidR="0080204D" w:rsidRPr="00D833E3" w:rsidRDefault="00384D84" w:rsidP="007A57BB">
      <w:pPr>
        <w:spacing w:before="120" w:after="120" w:line="240" w:lineRule="auto"/>
        <w:ind w:firstLine="720"/>
        <w:jc w:val="right"/>
        <w:rPr>
          <w:rFonts w:ascii="Times New Roman" w:hAnsi="Times New Roman" w:cs="Times New Roman"/>
          <w:b/>
          <w:sz w:val="24"/>
          <w:szCs w:val="24"/>
          <w:lang w:val="hu-HU"/>
        </w:rPr>
      </w:pPr>
      <w:r w:rsidRPr="00D833E3">
        <w:rPr>
          <w:rFonts w:ascii="Times New Roman" w:hAnsi="Times New Roman" w:cs="Times New Roman"/>
          <w:b/>
          <w:sz w:val="24"/>
          <w:szCs w:val="24"/>
          <w:lang w:val="hu-HU"/>
        </w:rPr>
        <w:t>MAI NGỌC ANH</w:t>
      </w:r>
    </w:p>
    <w:p w:rsidR="0080204D" w:rsidRPr="00D833E3" w:rsidRDefault="00FC335B" w:rsidP="0080204D">
      <w:pPr>
        <w:widowControl w:val="0"/>
        <w:spacing w:after="0" w:line="312" w:lineRule="auto"/>
        <w:ind w:firstLine="567"/>
        <w:rPr>
          <w:rFonts w:ascii="Times New Roman" w:eastAsia="PMingLiU" w:hAnsi="Times New Roman" w:cs="Times New Roman"/>
          <w:sz w:val="24"/>
          <w:szCs w:val="24"/>
          <w:lang w:val="en-US"/>
        </w:rPr>
      </w:pPr>
      <w:proofErr w:type="spellStart"/>
      <w:r w:rsidRPr="00D833E3">
        <w:rPr>
          <w:rFonts w:ascii="Times New Roman" w:eastAsia="PMingLiU" w:hAnsi="Times New Roman" w:cs="Times New Roman"/>
          <w:b/>
          <w:sz w:val="24"/>
          <w:szCs w:val="24"/>
          <w:lang w:val="en-US"/>
        </w:rPr>
        <w:t>Tài</w:t>
      </w:r>
      <w:proofErr w:type="spellEnd"/>
      <w:r w:rsidRPr="00D833E3">
        <w:rPr>
          <w:rFonts w:ascii="Times New Roman" w:eastAsia="PMingLiU" w:hAnsi="Times New Roman" w:cs="Times New Roman"/>
          <w:b/>
          <w:sz w:val="24"/>
          <w:szCs w:val="24"/>
          <w:lang w:val="en-US"/>
        </w:rPr>
        <w:t xml:space="preserve"> </w:t>
      </w:r>
      <w:proofErr w:type="spellStart"/>
      <w:r w:rsidRPr="00D833E3">
        <w:rPr>
          <w:rFonts w:ascii="Times New Roman" w:eastAsia="PMingLiU" w:hAnsi="Times New Roman" w:cs="Times New Roman"/>
          <w:b/>
          <w:sz w:val="24"/>
          <w:szCs w:val="24"/>
          <w:lang w:val="en-US"/>
        </w:rPr>
        <w:t>liệu</w:t>
      </w:r>
      <w:proofErr w:type="spellEnd"/>
      <w:r w:rsidRPr="00D833E3">
        <w:rPr>
          <w:rFonts w:ascii="Times New Roman" w:eastAsia="PMingLiU" w:hAnsi="Times New Roman" w:cs="Times New Roman"/>
          <w:b/>
          <w:sz w:val="24"/>
          <w:szCs w:val="24"/>
          <w:lang w:val="en-US"/>
        </w:rPr>
        <w:t xml:space="preserve"> </w:t>
      </w:r>
      <w:proofErr w:type="spellStart"/>
      <w:r w:rsidRPr="00D833E3">
        <w:rPr>
          <w:rFonts w:ascii="Times New Roman" w:eastAsia="PMingLiU" w:hAnsi="Times New Roman" w:cs="Times New Roman"/>
          <w:b/>
          <w:sz w:val="24"/>
          <w:szCs w:val="24"/>
          <w:lang w:val="en-US"/>
        </w:rPr>
        <w:t>tham</w:t>
      </w:r>
      <w:proofErr w:type="spellEnd"/>
      <w:r w:rsidRPr="00D833E3">
        <w:rPr>
          <w:rFonts w:ascii="Times New Roman" w:eastAsia="PMingLiU" w:hAnsi="Times New Roman" w:cs="Times New Roman"/>
          <w:b/>
          <w:sz w:val="24"/>
          <w:szCs w:val="24"/>
          <w:lang w:val="en-US"/>
        </w:rPr>
        <w:t xml:space="preserve"> </w:t>
      </w:r>
      <w:proofErr w:type="spellStart"/>
      <w:r w:rsidRPr="00D833E3">
        <w:rPr>
          <w:rFonts w:ascii="Times New Roman" w:eastAsia="PMingLiU" w:hAnsi="Times New Roman" w:cs="Times New Roman"/>
          <w:b/>
          <w:sz w:val="24"/>
          <w:szCs w:val="24"/>
          <w:lang w:val="en-US"/>
        </w:rPr>
        <w:t>khảo</w:t>
      </w:r>
      <w:proofErr w:type="spellEnd"/>
    </w:p>
    <w:p w:rsidR="008539B1" w:rsidRPr="00D833E3" w:rsidRDefault="008539B1" w:rsidP="008539B1">
      <w:pPr>
        <w:widowControl w:val="0"/>
        <w:numPr>
          <w:ilvl w:val="0"/>
          <w:numId w:val="1"/>
        </w:numPr>
        <w:spacing w:after="0" w:line="312" w:lineRule="auto"/>
        <w:jc w:val="both"/>
        <w:rPr>
          <w:rFonts w:ascii="Times New Roman" w:eastAsia="Calibri" w:hAnsi="Times New Roman" w:cs="Times New Roman"/>
          <w:sz w:val="24"/>
          <w:szCs w:val="24"/>
          <w:lang w:val="en-US"/>
        </w:rPr>
      </w:pPr>
      <w:proofErr w:type="spellStart"/>
      <w:r w:rsidRPr="00D833E3">
        <w:rPr>
          <w:rFonts w:ascii="Times New Roman" w:eastAsia="Calibri" w:hAnsi="Times New Roman" w:cs="Times New Roman"/>
          <w:sz w:val="24"/>
          <w:szCs w:val="24"/>
          <w:lang w:val="en-US"/>
        </w:rPr>
        <w:t>Nguyễn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Thị</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Đông</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i/>
          <w:sz w:val="24"/>
          <w:szCs w:val="24"/>
          <w:lang w:val="en-US"/>
        </w:rPr>
        <w:t>Giáo</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trình</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lý</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thuyết</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kế</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toán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Nxb</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Tài</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chính</w:t>
      </w:r>
      <w:proofErr w:type="spellEnd"/>
      <w:r w:rsidRPr="00D833E3">
        <w:rPr>
          <w:rFonts w:ascii="Times New Roman" w:eastAsia="Calibri" w:hAnsi="Times New Roman" w:cs="Times New Roman"/>
          <w:sz w:val="24"/>
          <w:szCs w:val="24"/>
          <w:lang w:val="en-US"/>
        </w:rPr>
        <w:t>, 2003.</w:t>
      </w:r>
    </w:p>
    <w:p w:rsidR="0080204D" w:rsidRPr="00D833E3" w:rsidRDefault="00FC335B" w:rsidP="0080204D">
      <w:pPr>
        <w:widowControl w:val="0"/>
        <w:numPr>
          <w:ilvl w:val="0"/>
          <w:numId w:val="1"/>
        </w:numPr>
        <w:spacing w:after="0" w:line="312" w:lineRule="auto"/>
        <w:jc w:val="both"/>
        <w:rPr>
          <w:rFonts w:ascii="Times New Roman" w:eastAsia="Calibri" w:hAnsi="Times New Roman" w:cs="Times New Roman"/>
          <w:sz w:val="24"/>
          <w:szCs w:val="24"/>
          <w:lang w:val="en-US"/>
        </w:rPr>
      </w:pPr>
      <w:proofErr w:type="spellStart"/>
      <w:r w:rsidRPr="00D833E3">
        <w:rPr>
          <w:rFonts w:ascii="Times New Roman" w:eastAsia="Calibri" w:hAnsi="Times New Roman" w:cs="Times New Roman"/>
          <w:sz w:val="24"/>
          <w:szCs w:val="24"/>
          <w:lang w:val="en-US"/>
        </w:rPr>
        <w:t>Bộ</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Tài</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chính</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i/>
          <w:sz w:val="24"/>
          <w:szCs w:val="24"/>
          <w:lang w:val="en-US"/>
        </w:rPr>
        <w:t>Hệ</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thống</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chuẩn</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mực</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kế</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toán</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Việt</w:t>
      </w:r>
      <w:proofErr w:type="spellEnd"/>
      <w:r w:rsidRPr="00D833E3">
        <w:rPr>
          <w:rFonts w:ascii="Times New Roman" w:eastAsia="Calibri" w:hAnsi="Times New Roman" w:cs="Times New Roman"/>
          <w:i/>
          <w:sz w:val="24"/>
          <w:szCs w:val="24"/>
          <w:lang w:val="en-US"/>
        </w:rPr>
        <w:t xml:space="preserve"> Nam</w:t>
      </w:r>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Nxb</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Tài</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chính</w:t>
      </w:r>
      <w:proofErr w:type="spellEnd"/>
      <w:r w:rsidRPr="00D833E3">
        <w:rPr>
          <w:rFonts w:ascii="Times New Roman" w:eastAsia="Calibri" w:hAnsi="Times New Roman" w:cs="Times New Roman"/>
          <w:sz w:val="24"/>
          <w:szCs w:val="24"/>
          <w:lang w:val="en-US"/>
        </w:rPr>
        <w:t>, 2005.</w:t>
      </w:r>
    </w:p>
    <w:p w:rsidR="008539B1" w:rsidRPr="00D833E3" w:rsidRDefault="008539B1" w:rsidP="008539B1">
      <w:pPr>
        <w:widowControl w:val="0"/>
        <w:numPr>
          <w:ilvl w:val="0"/>
          <w:numId w:val="1"/>
        </w:numPr>
        <w:spacing w:after="0" w:line="312" w:lineRule="auto"/>
        <w:jc w:val="both"/>
        <w:rPr>
          <w:rFonts w:ascii="Times New Roman" w:eastAsia="Calibri" w:hAnsi="Times New Roman" w:cs="Times New Roman"/>
          <w:sz w:val="24"/>
          <w:szCs w:val="24"/>
          <w:lang w:val="en-US"/>
        </w:rPr>
      </w:pPr>
      <w:proofErr w:type="spellStart"/>
      <w:r w:rsidRPr="00D833E3">
        <w:rPr>
          <w:rFonts w:ascii="Times New Roman" w:eastAsia="Calibri" w:hAnsi="Times New Roman" w:cs="Times New Roman"/>
          <w:sz w:val="24"/>
          <w:szCs w:val="24"/>
          <w:lang w:val="en-US"/>
        </w:rPr>
        <w:t>Nguyễn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Hữu</w:t>
      </w:r>
      <w:proofErr w:type="spellEnd"/>
      <w:r w:rsidRPr="00D833E3">
        <w:rPr>
          <w:rFonts w:ascii="Times New Roman" w:eastAsia="Calibri" w:hAnsi="Times New Roman" w:cs="Times New Roman"/>
          <w:sz w:val="24"/>
          <w:szCs w:val="24"/>
          <w:lang w:val="en-US"/>
        </w:rPr>
        <w:t xml:space="preserve"> Ba, </w:t>
      </w:r>
      <w:proofErr w:type="spellStart"/>
      <w:r w:rsidRPr="00D833E3">
        <w:rPr>
          <w:rFonts w:ascii="Times New Roman" w:eastAsia="Calibri" w:hAnsi="Times New Roman" w:cs="Times New Roman"/>
          <w:i/>
          <w:sz w:val="24"/>
          <w:szCs w:val="24"/>
          <w:lang w:val="en-US"/>
        </w:rPr>
        <w:t>Giáo</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trình</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lý</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thuyết</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Hạch</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toán</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Kế</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toán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Nxb</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Tài</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chính</w:t>
      </w:r>
      <w:proofErr w:type="spellEnd"/>
      <w:r w:rsidRPr="00D833E3">
        <w:rPr>
          <w:rFonts w:ascii="Times New Roman" w:eastAsia="Calibri" w:hAnsi="Times New Roman" w:cs="Times New Roman"/>
          <w:sz w:val="24"/>
          <w:szCs w:val="24"/>
          <w:lang w:val="en-US"/>
        </w:rPr>
        <w:t>, 2005.</w:t>
      </w:r>
    </w:p>
    <w:p w:rsidR="0080204D" w:rsidRPr="00D833E3" w:rsidRDefault="00FC335B" w:rsidP="0080204D">
      <w:pPr>
        <w:widowControl w:val="0"/>
        <w:numPr>
          <w:ilvl w:val="0"/>
          <w:numId w:val="1"/>
        </w:numPr>
        <w:spacing w:after="0" w:line="312" w:lineRule="auto"/>
        <w:jc w:val="both"/>
        <w:rPr>
          <w:rFonts w:ascii="Times New Roman" w:eastAsia="Calibri" w:hAnsi="Times New Roman" w:cs="Times New Roman"/>
          <w:sz w:val="24"/>
          <w:szCs w:val="24"/>
          <w:lang w:val="en-US"/>
        </w:rPr>
      </w:pPr>
      <w:proofErr w:type="spellStart"/>
      <w:r w:rsidRPr="00D833E3">
        <w:rPr>
          <w:rFonts w:ascii="Times New Roman" w:eastAsia="Calibri" w:hAnsi="Times New Roman" w:cs="Times New Roman"/>
          <w:sz w:val="24"/>
          <w:szCs w:val="24"/>
          <w:lang w:val="en-US"/>
        </w:rPr>
        <w:t>Đoàn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Xuân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Tiên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Lê</w:t>
      </w:r>
      <w:proofErr w:type="spellEnd"/>
      <w:r w:rsidRPr="00D833E3">
        <w:rPr>
          <w:rFonts w:ascii="Times New Roman" w:eastAsia="Calibri" w:hAnsi="Times New Roman" w:cs="Times New Roman"/>
          <w:sz w:val="24"/>
          <w:szCs w:val="24"/>
          <w:lang w:val="en-US"/>
        </w:rPr>
        <w:t xml:space="preserve"> Văn </w:t>
      </w:r>
      <w:proofErr w:type="spellStart"/>
      <w:r w:rsidRPr="00D833E3">
        <w:rPr>
          <w:rFonts w:ascii="Times New Roman" w:eastAsia="Calibri" w:hAnsi="Times New Roman" w:cs="Times New Roman"/>
          <w:sz w:val="24"/>
          <w:szCs w:val="24"/>
          <w:lang w:val="en-US"/>
        </w:rPr>
        <w:t>Liên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Nguyễn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Thị</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Hồng</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Vân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i/>
          <w:sz w:val="24"/>
          <w:szCs w:val="24"/>
          <w:lang w:val="en-US"/>
        </w:rPr>
        <w:t>Nguyên</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lý</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kế</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toán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Nxb</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Tài</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chính</w:t>
      </w:r>
      <w:proofErr w:type="spellEnd"/>
      <w:r w:rsidRPr="00D833E3">
        <w:rPr>
          <w:rFonts w:ascii="Times New Roman" w:eastAsia="Calibri" w:hAnsi="Times New Roman" w:cs="Times New Roman"/>
          <w:sz w:val="24"/>
          <w:szCs w:val="24"/>
          <w:lang w:val="en-US"/>
        </w:rPr>
        <w:t>, 2014.</w:t>
      </w:r>
    </w:p>
    <w:p w:rsidR="008539B1" w:rsidRPr="00D833E3" w:rsidRDefault="008539B1" w:rsidP="008539B1">
      <w:pPr>
        <w:widowControl w:val="0"/>
        <w:numPr>
          <w:ilvl w:val="0"/>
          <w:numId w:val="1"/>
        </w:numPr>
        <w:spacing w:after="0" w:line="312" w:lineRule="auto"/>
        <w:jc w:val="both"/>
        <w:rPr>
          <w:rFonts w:ascii="Times New Roman" w:eastAsia="Calibri" w:hAnsi="Times New Roman" w:cs="Times New Roman"/>
          <w:sz w:val="24"/>
          <w:szCs w:val="24"/>
          <w:lang w:val="en-US"/>
        </w:rPr>
      </w:pPr>
      <w:r w:rsidRPr="00D833E3">
        <w:rPr>
          <w:rFonts w:ascii="Times New Roman" w:eastAsia="Calibri" w:hAnsi="Times New Roman" w:cs="Times New Roman"/>
          <w:sz w:val="24"/>
          <w:szCs w:val="24"/>
          <w:lang w:val="en-US"/>
        </w:rPr>
        <w:t xml:space="preserve">Ahmed </w:t>
      </w:r>
      <w:proofErr w:type="spellStart"/>
      <w:r w:rsidRPr="00D833E3">
        <w:rPr>
          <w:rFonts w:ascii="Times New Roman" w:eastAsia="Calibri" w:hAnsi="Times New Roman" w:cs="Times New Roman"/>
          <w:sz w:val="24"/>
          <w:szCs w:val="24"/>
          <w:lang w:val="en-US"/>
        </w:rPr>
        <w:t>Baikoui</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i/>
          <w:sz w:val="24"/>
          <w:szCs w:val="24"/>
          <w:lang w:val="en-US"/>
        </w:rPr>
        <w:t>Lý</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thuyết</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kế</w:t>
      </w:r>
      <w:proofErr w:type="spellEnd"/>
      <w:r w:rsidRPr="00D833E3">
        <w:rPr>
          <w:rFonts w:ascii="Times New Roman" w:eastAsia="Calibri" w:hAnsi="Times New Roman" w:cs="Times New Roman"/>
          <w:i/>
          <w:sz w:val="24"/>
          <w:szCs w:val="24"/>
          <w:lang w:val="en-US"/>
        </w:rPr>
        <w:t xml:space="preserve"> </w:t>
      </w:r>
      <w:proofErr w:type="spellStart"/>
      <w:r w:rsidRPr="00D833E3">
        <w:rPr>
          <w:rFonts w:ascii="Times New Roman" w:eastAsia="Calibri" w:hAnsi="Times New Roman" w:cs="Times New Roman"/>
          <w:i/>
          <w:sz w:val="24"/>
          <w:szCs w:val="24"/>
          <w:lang w:val="en-US"/>
        </w:rPr>
        <w:t>toán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Harcout</w:t>
      </w:r>
      <w:proofErr w:type="spellEnd"/>
      <w:r w:rsidRPr="00D833E3">
        <w:rPr>
          <w:rFonts w:ascii="Times New Roman" w:eastAsia="Calibri" w:hAnsi="Times New Roman" w:cs="Times New Roman"/>
          <w:sz w:val="24"/>
          <w:szCs w:val="24"/>
          <w:lang w:val="en-US"/>
        </w:rPr>
        <w:t xml:space="preserve"> Brace, </w:t>
      </w:r>
      <w:proofErr w:type="spellStart"/>
      <w:r w:rsidRPr="00D833E3">
        <w:rPr>
          <w:rFonts w:ascii="Times New Roman" w:eastAsia="Calibri" w:hAnsi="Times New Roman" w:cs="Times New Roman"/>
          <w:sz w:val="24"/>
          <w:szCs w:val="24"/>
          <w:lang w:val="en-US"/>
        </w:rPr>
        <w:t>Sandiego</w:t>
      </w:r>
      <w:proofErr w:type="spellEnd"/>
      <w:r w:rsidRPr="00D833E3">
        <w:rPr>
          <w:rFonts w:ascii="Times New Roman" w:eastAsia="Calibri" w:hAnsi="Times New Roman" w:cs="Times New Roman"/>
          <w:sz w:val="24"/>
          <w:szCs w:val="24"/>
          <w:lang w:val="en-US"/>
        </w:rPr>
        <w:t>, 1985.</w:t>
      </w:r>
    </w:p>
    <w:p w:rsidR="008539B1" w:rsidRPr="00D833E3" w:rsidRDefault="008539B1" w:rsidP="008539B1">
      <w:pPr>
        <w:widowControl w:val="0"/>
        <w:numPr>
          <w:ilvl w:val="0"/>
          <w:numId w:val="1"/>
        </w:numPr>
        <w:spacing w:after="0" w:line="312" w:lineRule="auto"/>
        <w:jc w:val="both"/>
        <w:rPr>
          <w:rFonts w:ascii="Times New Roman" w:hAnsi="Times New Roman" w:cs="Times New Roman"/>
          <w:sz w:val="24"/>
          <w:szCs w:val="24"/>
        </w:rPr>
      </w:pPr>
      <w:proofErr w:type="spellStart"/>
      <w:r w:rsidRPr="00D833E3">
        <w:rPr>
          <w:rFonts w:ascii="Times New Roman" w:eastAsia="Calibri" w:hAnsi="Times New Roman" w:cs="Times New Roman"/>
          <w:sz w:val="24"/>
          <w:szCs w:val="24"/>
          <w:lang w:val="en-US"/>
        </w:rPr>
        <w:t>Veron</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Kam</w:t>
      </w:r>
      <w:proofErr w:type="spellEnd"/>
      <w:r w:rsidRPr="00D833E3">
        <w:rPr>
          <w:rFonts w:ascii="Times New Roman" w:eastAsia="Calibri" w:hAnsi="Times New Roman" w:cs="Times New Roman"/>
          <w:sz w:val="24"/>
          <w:szCs w:val="24"/>
          <w:lang w:val="en-US"/>
        </w:rPr>
        <w:t xml:space="preserve">, </w:t>
      </w:r>
      <w:r w:rsidRPr="00D833E3">
        <w:rPr>
          <w:rFonts w:ascii="Times New Roman" w:eastAsia="Calibri" w:hAnsi="Times New Roman" w:cs="Times New Roman"/>
          <w:i/>
          <w:sz w:val="24"/>
          <w:szCs w:val="24"/>
          <w:lang w:val="en-US"/>
        </w:rPr>
        <w:t>Accounting theories</w:t>
      </w:r>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Witley</w:t>
      </w:r>
      <w:proofErr w:type="spellEnd"/>
      <w:r w:rsidRPr="00D833E3">
        <w:rPr>
          <w:rFonts w:ascii="Times New Roman" w:eastAsia="Calibri" w:hAnsi="Times New Roman" w:cs="Times New Roman"/>
          <w:sz w:val="24"/>
          <w:szCs w:val="24"/>
          <w:lang w:val="en-US"/>
        </w:rPr>
        <w:t xml:space="preserve"> &amp; Son, 1990.</w:t>
      </w:r>
    </w:p>
    <w:p w:rsidR="0080204D" w:rsidRPr="00D833E3" w:rsidRDefault="00FC335B" w:rsidP="0080204D">
      <w:pPr>
        <w:widowControl w:val="0"/>
        <w:numPr>
          <w:ilvl w:val="0"/>
          <w:numId w:val="1"/>
        </w:numPr>
        <w:spacing w:after="0" w:line="312" w:lineRule="auto"/>
        <w:jc w:val="both"/>
        <w:rPr>
          <w:rFonts w:ascii="Times New Roman" w:eastAsia="Calibri" w:hAnsi="Times New Roman" w:cs="Times New Roman"/>
          <w:sz w:val="24"/>
          <w:szCs w:val="24"/>
          <w:lang w:val="en-US"/>
        </w:rPr>
      </w:pPr>
      <w:r w:rsidRPr="00D833E3">
        <w:rPr>
          <w:rFonts w:ascii="Times New Roman" w:eastAsia="Calibri" w:hAnsi="Times New Roman" w:cs="Times New Roman"/>
          <w:sz w:val="24"/>
          <w:szCs w:val="24"/>
          <w:lang w:val="en-US"/>
        </w:rPr>
        <w:t xml:space="preserve">Harry </w:t>
      </w:r>
      <w:proofErr w:type="spellStart"/>
      <w:r w:rsidRPr="00D833E3">
        <w:rPr>
          <w:rFonts w:ascii="Times New Roman" w:eastAsia="Calibri" w:hAnsi="Times New Roman" w:cs="Times New Roman"/>
          <w:sz w:val="24"/>
          <w:szCs w:val="24"/>
          <w:lang w:val="en-US"/>
        </w:rPr>
        <w:t>I.Wolk</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Iere</w:t>
      </w:r>
      <w:proofErr w:type="spellEnd"/>
      <w:r w:rsidRPr="00D833E3">
        <w:rPr>
          <w:rFonts w:ascii="Times New Roman" w:eastAsia="Calibri" w:hAnsi="Times New Roman" w:cs="Times New Roman"/>
          <w:sz w:val="24"/>
          <w:szCs w:val="24"/>
          <w:lang w:val="en-US"/>
        </w:rPr>
        <w:t xml:space="preserve"> R. Francis </w:t>
      </w:r>
      <w:proofErr w:type="spellStart"/>
      <w:r w:rsidRPr="00D833E3">
        <w:rPr>
          <w:rFonts w:ascii="Times New Roman" w:eastAsia="Calibri" w:hAnsi="Times New Roman" w:cs="Times New Roman"/>
          <w:sz w:val="24"/>
          <w:szCs w:val="24"/>
          <w:lang w:val="en-US"/>
        </w:rPr>
        <w:t>và</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Michale</w:t>
      </w:r>
      <w:proofErr w:type="spellEnd"/>
      <w:r w:rsidRPr="00D833E3">
        <w:rPr>
          <w:rFonts w:ascii="Times New Roman" w:eastAsia="Calibri" w:hAnsi="Times New Roman" w:cs="Times New Roman"/>
          <w:sz w:val="24"/>
          <w:szCs w:val="24"/>
          <w:lang w:val="en-US"/>
        </w:rPr>
        <w:t xml:space="preserve"> G. </w:t>
      </w:r>
      <w:proofErr w:type="spellStart"/>
      <w:r w:rsidRPr="00D833E3">
        <w:rPr>
          <w:rFonts w:ascii="Times New Roman" w:eastAsia="Calibri" w:hAnsi="Times New Roman" w:cs="Times New Roman"/>
          <w:sz w:val="24"/>
          <w:szCs w:val="24"/>
          <w:lang w:val="en-US"/>
        </w:rPr>
        <w:t>Teamey</w:t>
      </w:r>
      <w:proofErr w:type="spellEnd"/>
      <w:r w:rsidRPr="00D833E3">
        <w:rPr>
          <w:rFonts w:ascii="Times New Roman" w:eastAsia="Calibri" w:hAnsi="Times New Roman" w:cs="Times New Roman"/>
          <w:sz w:val="24"/>
          <w:szCs w:val="24"/>
          <w:lang w:val="en-US"/>
        </w:rPr>
        <w:t xml:space="preserve">, </w:t>
      </w:r>
      <w:r w:rsidRPr="00D833E3">
        <w:rPr>
          <w:rFonts w:ascii="Times New Roman" w:eastAsia="Calibri" w:hAnsi="Times New Roman" w:cs="Times New Roman"/>
          <w:i/>
          <w:sz w:val="24"/>
          <w:szCs w:val="24"/>
          <w:lang w:val="en-US"/>
        </w:rPr>
        <w:t>Accounting theories: A theoretical approach</w:t>
      </w:r>
      <w:r w:rsidRPr="00D833E3">
        <w:rPr>
          <w:rFonts w:ascii="Times New Roman" w:eastAsia="Calibri" w:hAnsi="Times New Roman" w:cs="Times New Roman"/>
          <w:sz w:val="24"/>
          <w:szCs w:val="24"/>
          <w:lang w:val="en-US"/>
        </w:rPr>
        <w:t>, Western Publishing, 1992.</w:t>
      </w:r>
    </w:p>
    <w:p w:rsidR="008539B1" w:rsidRPr="00D833E3" w:rsidRDefault="008539B1" w:rsidP="008539B1">
      <w:pPr>
        <w:widowControl w:val="0"/>
        <w:numPr>
          <w:ilvl w:val="0"/>
          <w:numId w:val="1"/>
        </w:numPr>
        <w:spacing w:after="0" w:line="312" w:lineRule="auto"/>
        <w:jc w:val="both"/>
        <w:rPr>
          <w:rFonts w:ascii="Times New Roman" w:eastAsia="Calibri" w:hAnsi="Times New Roman" w:cs="Times New Roman"/>
          <w:sz w:val="24"/>
          <w:szCs w:val="24"/>
          <w:lang w:val="en-US"/>
        </w:rPr>
      </w:pPr>
      <w:proofErr w:type="spellStart"/>
      <w:r w:rsidRPr="00D833E3">
        <w:rPr>
          <w:rFonts w:ascii="Times New Roman" w:eastAsia="Calibri" w:hAnsi="Times New Roman" w:cs="Times New Roman"/>
          <w:sz w:val="24"/>
          <w:szCs w:val="24"/>
          <w:lang w:val="en-US"/>
        </w:rPr>
        <w:t>R.N.Athony</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và</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Jame</w:t>
      </w:r>
      <w:proofErr w:type="spellEnd"/>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S.Reece</w:t>
      </w:r>
      <w:proofErr w:type="spellEnd"/>
      <w:r w:rsidRPr="00D833E3">
        <w:rPr>
          <w:rFonts w:ascii="Times New Roman" w:eastAsia="Calibri" w:hAnsi="Times New Roman" w:cs="Times New Roman"/>
          <w:sz w:val="24"/>
          <w:szCs w:val="24"/>
          <w:lang w:val="en-US"/>
        </w:rPr>
        <w:t xml:space="preserve">, </w:t>
      </w:r>
      <w:r w:rsidRPr="00D833E3">
        <w:rPr>
          <w:rFonts w:ascii="Times New Roman" w:eastAsia="Calibri" w:hAnsi="Times New Roman" w:cs="Times New Roman"/>
          <w:i/>
          <w:sz w:val="24"/>
          <w:szCs w:val="24"/>
          <w:lang w:val="en-US"/>
        </w:rPr>
        <w:t>Accounting principles</w:t>
      </w:r>
      <w:r w:rsidRPr="00D833E3">
        <w:rPr>
          <w:rFonts w:ascii="Times New Roman" w:eastAsia="Calibri" w:hAnsi="Times New Roman" w:cs="Times New Roman"/>
          <w:sz w:val="24"/>
          <w:szCs w:val="24"/>
          <w:lang w:val="en-US"/>
        </w:rPr>
        <w:t xml:space="preserve">, </w:t>
      </w:r>
      <w:proofErr w:type="spellStart"/>
      <w:r w:rsidRPr="00D833E3">
        <w:rPr>
          <w:rFonts w:ascii="Times New Roman" w:eastAsia="Calibri" w:hAnsi="Times New Roman" w:cs="Times New Roman"/>
          <w:sz w:val="24"/>
          <w:szCs w:val="24"/>
          <w:lang w:val="en-US"/>
        </w:rPr>
        <w:t>Rechard</w:t>
      </w:r>
      <w:proofErr w:type="spellEnd"/>
      <w:r w:rsidRPr="00D833E3">
        <w:rPr>
          <w:rFonts w:ascii="Times New Roman" w:eastAsia="Calibri" w:hAnsi="Times New Roman" w:cs="Times New Roman"/>
          <w:sz w:val="24"/>
          <w:szCs w:val="24"/>
          <w:lang w:val="en-US"/>
        </w:rPr>
        <w:t xml:space="preserve"> Irwin, 1992.</w:t>
      </w:r>
    </w:p>
    <w:p w:rsidR="0080204D" w:rsidRPr="00D833E3" w:rsidRDefault="00FC335B" w:rsidP="0080204D">
      <w:pPr>
        <w:widowControl w:val="0"/>
        <w:numPr>
          <w:ilvl w:val="0"/>
          <w:numId w:val="1"/>
        </w:numPr>
        <w:spacing w:after="0" w:line="312" w:lineRule="auto"/>
        <w:jc w:val="both"/>
        <w:rPr>
          <w:rFonts w:ascii="Times New Roman" w:eastAsia="Calibri" w:hAnsi="Times New Roman" w:cs="Times New Roman"/>
          <w:sz w:val="24"/>
          <w:szCs w:val="24"/>
          <w:lang w:val="en-US"/>
        </w:rPr>
      </w:pPr>
      <w:r w:rsidRPr="00D833E3">
        <w:rPr>
          <w:rFonts w:ascii="Times New Roman" w:eastAsia="Calibri" w:hAnsi="Times New Roman" w:cs="Times New Roman"/>
          <w:sz w:val="24"/>
          <w:szCs w:val="24"/>
          <w:lang w:val="en-US"/>
        </w:rPr>
        <w:t xml:space="preserve">IASB, </w:t>
      </w:r>
      <w:r w:rsidRPr="00D833E3">
        <w:rPr>
          <w:rFonts w:ascii="Times New Roman" w:eastAsia="Calibri" w:hAnsi="Times New Roman" w:cs="Times New Roman"/>
          <w:i/>
          <w:sz w:val="24"/>
          <w:szCs w:val="24"/>
          <w:lang w:val="en-US"/>
        </w:rPr>
        <w:t>IAS 01 – Presentation of financial statements</w:t>
      </w:r>
      <w:r w:rsidRPr="00D833E3">
        <w:rPr>
          <w:rFonts w:ascii="Times New Roman" w:eastAsia="Calibri" w:hAnsi="Times New Roman" w:cs="Times New Roman"/>
          <w:sz w:val="24"/>
          <w:szCs w:val="24"/>
          <w:lang w:val="en-US"/>
        </w:rPr>
        <w:t xml:space="preserve"> (1997, 2007).</w:t>
      </w:r>
    </w:p>
    <w:p w:rsidR="008539B1" w:rsidRPr="00D833E3" w:rsidRDefault="008539B1" w:rsidP="008539B1">
      <w:pPr>
        <w:widowControl w:val="0"/>
        <w:numPr>
          <w:ilvl w:val="0"/>
          <w:numId w:val="1"/>
        </w:numPr>
        <w:spacing w:after="0" w:line="312" w:lineRule="auto"/>
        <w:jc w:val="both"/>
        <w:rPr>
          <w:rFonts w:ascii="Times New Roman" w:eastAsia="Calibri" w:hAnsi="Times New Roman" w:cs="Times New Roman"/>
          <w:sz w:val="24"/>
          <w:szCs w:val="24"/>
          <w:lang w:val="en-US"/>
        </w:rPr>
      </w:pPr>
      <w:r w:rsidRPr="00D833E3">
        <w:rPr>
          <w:rFonts w:ascii="Times New Roman" w:eastAsia="Calibri" w:hAnsi="Times New Roman" w:cs="Times New Roman"/>
          <w:sz w:val="24"/>
          <w:szCs w:val="24"/>
          <w:lang w:val="en-US"/>
        </w:rPr>
        <w:t>FASB</w:t>
      </w:r>
      <w:proofErr w:type="gramStart"/>
      <w:r w:rsidRPr="00D833E3">
        <w:rPr>
          <w:rFonts w:ascii="Times New Roman" w:eastAsia="Calibri" w:hAnsi="Times New Roman" w:cs="Times New Roman"/>
          <w:sz w:val="24"/>
          <w:szCs w:val="24"/>
          <w:lang w:val="en-US"/>
        </w:rPr>
        <w:t xml:space="preserve">, </w:t>
      </w:r>
      <w:r w:rsidRPr="00D833E3">
        <w:rPr>
          <w:rFonts w:ascii="Times New Roman" w:eastAsia="Calibri" w:hAnsi="Times New Roman" w:cs="Times New Roman"/>
          <w:i/>
          <w:sz w:val="24"/>
          <w:szCs w:val="24"/>
          <w:lang w:val="en-US"/>
        </w:rPr>
        <w:t xml:space="preserve"> Statement</w:t>
      </w:r>
      <w:proofErr w:type="gramEnd"/>
      <w:r w:rsidRPr="00D833E3">
        <w:rPr>
          <w:rFonts w:ascii="Times New Roman" w:eastAsia="Calibri" w:hAnsi="Times New Roman" w:cs="Times New Roman"/>
          <w:i/>
          <w:sz w:val="24"/>
          <w:szCs w:val="24"/>
          <w:lang w:val="en-US"/>
        </w:rPr>
        <w:t xml:space="preserve"> on financial accounting concepts No.8, 2011</w:t>
      </w:r>
      <w:r w:rsidRPr="00D833E3">
        <w:rPr>
          <w:rFonts w:ascii="Times New Roman" w:eastAsia="Calibri" w:hAnsi="Times New Roman" w:cs="Times New Roman"/>
          <w:sz w:val="24"/>
          <w:szCs w:val="24"/>
          <w:lang w:val="en-US"/>
        </w:rPr>
        <w:t>.</w:t>
      </w:r>
    </w:p>
    <w:p w:rsidR="002B0B65" w:rsidRPr="00D833E3" w:rsidRDefault="002B0B65">
      <w:pPr>
        <w:widowControl w:val="0"/>
        <w:spacing w:after="0" w:line="312" w:lineRule="auto"/>
        <w:ind w:left="927"/>
        <w:jc w:val="both"/>
        <w:rPr>
          <w:rFonts w:ascii="Times New Roman" w:hAnsi="Times New Roman" w:cs="Times New Roman"/>
          <w:sz w:val="24"/>
          <w:szCs w:val="24"/>
        </w:rPr>
      </w:pPr>
    </w:p>
    <w:sectPr w:rsidR="002B0B65" w:rsidRPr="00D833E3" w:rsidSect="00610D9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F0F" w:rsidRDefault="002D0F0F" w:rsidP="0080204D">
      <w:pPr>
        <w:spacing w:after="0" w:line="240" w:lineRule="auto"/>
      </w:pPr>
      <w:r>
        <w:separator/>
      </w:r>
    </w:p>
  </w:endnote>
  <w:endnote w:type="continuationSeparator" w:id="0">
    <w:p w:rsidR="002D0F0F" w:rsidRDefault="002D0F0F" w:rsidP="00802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F0F" w:rsidRDefault="002D0F0F" w:rsidP="0080204D">
      <w:pPr>
        <w:spacing w:after="0" w:line="240" w:lineRule="auto"/>
      </w:pPr>
      <w:r>
        <w:separator/>
      </w:r>
    </w:p>
  </w:footnote>
  <w:footnote w:type="continuationSeparator" w:id="0">
    <w:p w:rsidR="002D0F0F" w:rsidRDefault="002D0F0F" w:rsidP="0080204D">
      <w:pPr>
        <w:spacing w:after="0" w:line="240" w:lineRule="auto"/>
      </w:pPr>
      <w:r>
        <w:continuationSeparator/>
      </w:r>
    </w:p>
  </w:footnote>
  <w:footnote w:id="1">
    <w:p w:rsidR="0080204D" w:rsidRPr="00307780" w:rsidRDefault="0080204D" w:rsidP="0080204D">
      <w:pPr>
        <w:pStyle w:val="FootnoteText"/>
        <w:spacing w:line="288" w:lineRule="auto"/>
        <w:ind w:firstLine="720"/>
        <w:jc w:val="both"/>
        <w:rPr>
          <w:sz w:val="22"/>
          <w:szCs w:val="22"/>
        </w:rPr>
      </w:pPr>
      <w:r w:rsidRPr="00307780">
        <w:rPr>
          <w:rStyle w:val="FootnoteReference"/>
          <w:sz w:val="22"/>
          <w:szCs w:val="22"/>
        </w:rPr>
        <w:footnoteRef/>
      </w:r>
      <w:r w:rsidRPr="00307780">
        <w:rPr>
          <w:sz w:val="22"/>
          <w:szCs w:val="22"/>
        </w:rPr>
        <w:t xml:space="preserve"> </w:t>
      </w:r>
      <w:proofErr w:type="spellStart"/>
      <w:r w:rsidRPr="00307780">
        <w:rPr>
          <w:sz w:val="22"/>
          <w:szCs w:val="22"/>
        </w:rPr>
        <w:t>Khu</w:t>
      </w:r>
      <w:r>
        <w:rPr>
          <w:sz w:val="22"/>
          <w:szCs w:val="22"/>
        </w:rPr>
        <w:t>ôn</w:t>
      </w:r>
      <w:proofErr w:type="spellEnd"/>
      <w:r>
        <w:rPr>
          <w:sz w:val="22"/>
          <w:szCs w:val="22"/>
        </w:rPr>
        <w:t xml:space="preserve"> </w:t>
      </w:r>
      <w:proofErr w:type="spellStart"/>
      <w:r>
        <w:rPr>
          <w:sz w:val="22"/>
          <w:szCs w:val="22"/>
        </w:rPr>
        <w:t>mẫu</w:t>
      </w:r>
      <w:proofErr w:type="spellEnd"/>
      <w:r>
        <w:rPr>
          <w:sz w:val="22"/>
          <w:szCs w:val="22"/>
        </w:rPr>
        <w:t xml:space="preserve"> ban </w:t>
      </w:r>
      <w:proofErr w:type="spellStart"/>
      <w:r>
        <w:rPr>
          <w:sz w:val="22"/>
          <w:szCs w:val="22"/>
        </w:rPr>
        <w:t>hành</w:t>
      </w:r>
      <w:proofErr w:type="spellEnd"/>
      <w:r>
        <w:rPr>
          <w:sz w:val="22"/>
          <w:szCs w:val="22"/>
        </w:rPr>
        <w:t xml:space="preserve"> </w:t>
      </w:r>
      <w:proofErr w:type="spellStart"/>
      <w:r>
        <w:rPr>
          <w:sz w:val="22"/>
          <w:szCs w:val="22"/>
        </w:rPr>
        <w:t>tháng</w:t>
      </w:r>
      <w:proofErr w:type="spellEnd"/>
      <w:r>
        <w:rPr>
          <w:sz w:val="22"/>
          <w:szCs w:val="22"/>
        </w:rPr>
        <w:t xml:space="preserve"> 9 </w:t>
      </w:r>
      <w:proofErr w:type="spellStart"/>
      <w:r>
        <w:rPr>
          <w:sz w:val="22"/>
          <w:szCs w:val="22"/>
        </w:rPr>
        <w:t>năm</w:t>
      </w:r>
      <w:proofErr w:type="spellEnd"/>
      <w:r>
        <w:rPr>
          <w:sz w:val="22"/>
          <w:szCs w:val="22"/>
        </w:rPr>
        <w:t xml:space="preserve"> </w:t>
      </w:r>
      <w:r w:rsidRPr="00307780">
        <w:rPr>
          <w:sz w:val="22"/>
          <w:szCs w:val="22"/>
        </w:rPr>
        <w:t xml:space="preserve">010 </w:t>
      </w:r>
      <w:proofErr w:type="spellStart"/>
      <w:r w:rsidRPr="00307780">
        <w:rPr>
          <w:sz w:val="22"/>
          <w:szCs w:val="22"/>
        </w:rPr>
        <w:t>vẫn</w:t>
      </w:r>
      <w:proofErr w:type="spellEnd"/>
      <w:r w:rsidRPr="00307780">
        <w:rPr>
          <w:sz w:val="22"/>
          <w:szCs w:val="22"/>
        </w:rPr>
        <w:t xml:space="preserve"> </w:t>
      </w:r>
      <w:proofErr w:type="spellStart"/>
      <w:r w:rsidRPr="00307780">
        <w:rPr>
          <w:sz w:val="22"/>
          <w:szCs w:val="22"/>
        </w:rPr>
        <w:t>kế</w:t>
      </w:r>
      <w:proofErr w:type="spellEnd"/>
      <w:r w:rsidRPr="00307780">
        <w:rPr>
          <w:sz w:val="22"/>
          <w:szCs w:val="22"/>
        </w:rPr>
        <w:t xml:space="preserve"> </w:t>
      </w:r>
      <w:proofErr w:type="spellStart"/>
      <w:r w:rsidRPr="00307780">
        <w:rPr>
          <w:sz w:val="22"/>
          <w:szCs w:val="22"/>
        </w:rPr>
        <w:t>thừa</w:t>
      </w:r>
      <w:proofErr w:type="spellEnd"/>
      <w:r w:rsidRPr="00307780">
        <w:rPr>
          <w:sz w:val="22"/>
          <w:szCs w:val="22"/>
        </w:rPr>
        <w:t xml:space="preserve"> </w:t>
      </w:r>
      <w:proofErr w:type="spellStart"/>
      <w:r w:rsidRPr="00307780">
        <w:rPr>
          <w:sz w:val="22"/>
          <w:szCs w:val="22"/>
        </w:rPr>
        <w:t>các</w:t>
      </w:r>
      <w:proofErr w:type="spellEnd"/>
      <w:r w:rsidRPr="00307780">
        <w:rPr>
          <w:sz w:val="22"/>
          <w:szCs w:val="22"/>
        </w:rPr>
        <w:t xml:space="preserve"> </w:t>
      </w:r>
      <w:proofErr w:type="spellStart"/>
      <w:r w:rsidRPr="00307780">
        <w:rPr>
          <w:sz w:val="22"/>
          <w:szCs w:val="22"/>
        </w:rPr>
        <w:t>quy</w:t>
      </w:r>
      <w:proofErr w:type="spellEnd"/>
      <w:r w:rsidRPr="00307780">
        <w:rPr>
          <w:sz w:val="22"/>
          <w:szCs w:val="22"/>
        </w:rPr>
        <w:t xml:space="preserve"> </w:t>
      </w:r>
      <w:proofErr w:type="spellStart"/>
      <w:r w:rsidRPr="00307780">
        <w:rPr>
          <w:sz w:val="22"/>
          <w:szCs w:val="22"/>
        </w:rPr>
        <w:t>định</w:t>
      </w:r>
      <w:proofErr w:type="spellEnd"/>
      <w:r w:rsidRPr="00307780">
        <w:rPr>
          <w:sz w:val="22"/>
          <w:szCs w:val="22"/>
        </w:rPr>
        <w:t xml:space="preserve"> </w:t>
      </w:r>
      <w:proofErr w:type="spellStart"/>
      <w:r w:rsidRPr="00307780">
        <w:rPr>
          <w:sz w:val="22"/>
          <w:szCs w:val="22"/>
        </w:rPr>
        <w:t>của</w:t>
      </w:r>
      <w:proofErr w:type="spellEnd"/>
      <w:r w:rsidRPr="00307780">
        <w:rPr>
          <w:sz w:val="22"/>
          <w:szCs w:val="22"/>
        </w:rPr>
        <w:t xml:space="preserve"> </w:t>
      </w:r>
      <w:proofErr w:type="spellStart"/>
      <w:r w:rsidRPr="00307780">
        <w:rPr>
          <w:sz w:val="22"/>
          <w:szCs w:val="22"/>
        </w:rPr>
        <w:t>khuôn</w:t>
      </w:r>
      <w:proofErr w:type="spellEnd"/>
      <w:r w:rsidRPr="00307780">
        <w:rPr>
          <w:sz w:val="22"/>
          <w:szCs w:val="22"/>
        </w:rPr>
        <w:t xml:space="preserve"> </w:t>
      </w:r>
      <w:proofErr w:type="spellStart"/>
      <w:r w:rsidRPr="00307780">
        <w:rPr>
          <w:sz w:val="22"/>
          <w:szCs w:val="22"/>
        </w:rPr>
        <w:t>mẫu</w:t>
      </w:r>
      <w:proofErr w:type="spellEnd"/>
      <w:r w:rsidRPr="00307780">
        <w:rPr>
          <w:sz w:val="22"/>
          <w:szCs w:val="22"/>
        </w:rPr>
        <w:t xml:space="preserve"> </w:t>
      </w:r>
      <w:proofErr w:type="spellStart"/>
      <w:r w:rsidRPr="00307780">
        <w:rPr>
          <w:sz w:val="22"/>
          <w:szCs w:val="22"/>
        </w:rPr>
        <w:t>năm</w:t>
      </w:r>
      <w:proofErr w:type="spellEnd"/>
      <w:r w:rsidRPr="00307780">
        <w:rPr>
          <w:sz w:val="22"/>
          <w:szCs w:val="22"/>
        </w:rPr>
        <w:t xml:space="preserve"> 1989 </w:t>
      </w:r>
      <w:proofErr w:type="spellStart"/>
      <w:r w:rsidRPr="00307780">
        <w:rPr>
          <w:sz w:val="22"/>
          <w:szCs w:val="22"/>
        </w:rPr>
        <w:t>về</w:t>
      </w:r>
      <w:proofErr w:type="spellEnd"/>
      <w:r w:rsidRPr="00307780">
        <w:rPr>
          <w:sz w:val="22"/>
          <w:szCs w:val="22"/>
        </w:rPr>
        <w:t xml:space="preserve"> </w:t>
      </w:r>
      <w:proofErr w:type="spellStart"/>
      <w:r w:rsidRPr="00307780">
        <w:rPr>
          <w:sz w:val="22"/>
          <w:szCs w:val="22"/>
        </w:rPr>
        <w:t>các</w:t>
      </w:r>
      <w:proofErr w:type="spellEnd"/>
      <w:r w:rsidRPr="00307780">
        <w:rPr>
          <w:sz w:val="22"/>
          <w:szCs w:val="22"/>
        </w:rPr>
        <w:t xml:space="preserve"> </w:t>
      </w:r>
      <w:proofErr w:type="spellStart"/>
      <w:r w:rsidRPr="00307780">
        <w:rPr>
          <w:sz w:val="22"/>
          <w:szCs w:val="22"/>
        </w:rPr>
        <w:t>yếu</w:t>
      </w:r>
      <w:proofErr w:type="spellEnd"/>
      <w:r w:rsidRPr="00307780">
        <w:rPr>
          <w:sz w:val="22"/>
          <w:szCs w:val="22"/>
        </w:rPr>
        <w:t xml:space="preserve"> </w:t>
      </w:r>
      <w:proofErr w:type="spellStart"/>
      <w:r w:rsidRPr="00307780">
        <w:rPr>
          <w:sz w:val="22"/>
          <w:szCs w:val="22"/>
        </w:rPr>
        <w:t>tố</w:t>
      </w:r>
      <w:proofErr w:type="spellEnd"/>
      <w:r w:rsidRPr="00307780">
        <w:rPr>
          <w:sz w:val="22"/>
          <w:szCs w:val="22"/>
        </w:rPr>
        <w:t xml:space="preserve"> </w:t>
      </w:r>
      <w:proofErr w:type="spellStart"/>
      <w:r w:rsidRPr="00307780">
        <w:rPr>
          <w:sz w:val="22"/>
          <w:szCs w:val="22"/>
        </w:rPr>
        <w:t>của</w:t>
      </w:r>
      <w:proofErr w:type="spellEnd"/>
      <w:r w:rsidRPr="00307780">
        <w:rPr>
          <w:sz w:val="22"/>
          <w:szCs w:val="22"/>
        </w:rPr>
        <w:t xml:space="preserve"> </w:t>
      </w:r>
      <w:proofErr w:type="spellStart"/>
      <w:r w:rsidRPr="00307780">
        <w:rPr>
          <w:sz w:val="22"/>
          <w:szCs w:val="22"/>
        </w:rPr>
        <w:t>Báo</w:t>
      </w:r>
      <w:proofErr w:type="spellEnd"/>
      <w:r w:rsidRPr="00307780">
        <w:rPr>
          <w:sz w:val="22"/>
          <w:szCs w:val="22"/>
        </w:rPr>
        <w:t xml:space="preserve"> </w:t>
      </w:r>
      <w:proofErr w:type="spellStart"/>
      <w:r w:rsidRPr="00307780">
        <w:rPr>
          <w:sz w:val="22"/>
          <w:szCs w:val="22"/>
        </w:rPr>
        <w:t>cáo</w:t>
      </w:r>
      <w:proofErr w:type="spellEnd"/>
      <w:r w:rsidRPr="00307780">
        <w:rPr>
          <w:sz w:val="22"/>
          <w:szCs w:val="22"/>
        </w:rPr>
        <w:t xml:space="preserve"> </w:t>
      </w:r>
      <w:proofErr w:type="spellStart"/>
      <w:r w:rsidRPr="00307780">
        <w:rPr>
          <w:sz w:val="22"/>
          <w:szCs w:val="22"/>
        </w:rPr>
        <w:t>tài</w:t>
      </w:r>
      <w:proofErr w:type="spellEnd"/>
      <w:r w:rsidRPr="00307780">
        <w:rPr>
          <w:sz w:val="22"/>
          <w:szCs w:val="22"/>
        </w:rPr>
        <w:t xml:space="preserve"> </w:t>
      </w:r>
      <w:proofErr w:type="spellStart"/>
      <w:r w:rsidRPr="00307780">
        <w:rPr>
          <w:sz w:val="22"/>
          <w:szCs w:val="22"/>
        </w:rPr>
        <w:t>chính</w:t>
      </w:r>
      <w:proofErr w:type="spellEnd"/>
      <w:r w:rsidRPr="00307780">
        <w:rPr>
          <w:sz w:val="22"/>
          <w:szCs w:val="22"/>
        </w:rPr>
        <w:t xml:space="preserve"> do IASB </w:t>
      </w:r>
      <w:proofErr w:type="spellStart"/>
      <w:r w:rsidRPr="00307780">
        <w:rPr>
          <w:sz w:val="22"/>
          <w:szCs w:val="22"/>
        </w:rPr>
        <w:t>mới</w:t>
      </w:r>
      <w:proofErr w:type="spellEnd"/>
      <w:r w:rsidRPr="00307780">
        <w:rPr>
          <w:sz w:val="22"/>
          <w:szCs w:val="22"/>
        </w:rPr>
        <w:t xml:space="preserve"> </w:t>
      </w:r>
      <w:proofErr w:type="spellStart"/>
      <w:r w:rsidRPr="00307780">
        <w:rPr>
          <w:sz w:val="22"/>
          <w:szCs w:val="22"/>
        </w:rPr>
        <w:t>hoàn</w:t>
      </w:r>
      <w:proofErr w:type="spellEnd"/>
      <w:r w:rsidRPr="00307780">
        <w:rPr>
          <w:sz w:val="22"/>
          <w:szCs w:val="22"/>
        </w:rPr>
        <w:t xml:space="preserve"> </w:t>
      </w:r>
      <w:proofErr w:type="spellStart"/>
      <w:r w:rsidRPr="00307780">
        <w:rPr>
          <w:sz w:val="22"/>
          <w:szCs w:val="22"/>
        </w:rPr>
        <w:t>thành</w:t>
      </w:r>
      <w:proofErr w:type="spellEnd"/>
      <w:r w:rsidRPr="00307780">
        <w:rPr>
          <w:sz w:val="22"/>
          <w:szCs w:val="22"/>
        </w:rPr>
        <w:t xml:space="preserve"> </w:t>
      </w:r>
      <w:proofErr w:type="spellStart"/>
      <w:r w:rsidRPr="00307780">
        <w:rPr>
          <w:sz w:val="22"/>
          <w:szCs w:val="22"/>
        </w:rPr>
        <w:t>giai</w:t>
      </w:r>
      <w:proofErr w:type="spellEnd"/>
      <w:r w:rsidRPr="00307780">
        <w:rPr>
          <w:sz w:val="22"/>
          <w:szCs w:val="22"/>
        </w:rPr>
        <w:t xml:space="preserve"> </w:t>
      </w:r>
      <w:proofErr w:type="spellStart"/>
      <w:r w:rsidRPr="00307780">
        <w:rPr>
          <w:sz w:val="22"/>
          <w:szCs w:val="22"/>
        </w:rPr>
        <w:t>đoạn</w:t>
      </w:r>
      <w:proofErr w:type="spellEnd"/>
      <w:r w:rsidRPr="00307780">
        <w:rPr>
          <w:sz w:val="22"/>
          <w:szCs w:val="22"/>
        </w:rPr>
        <w:t xml:space="preserve"> I </w:t>
      </w:r>
      <w:proofErr w:type="spellStart"/>
      <w:r w:rsidRPr="00307780">
        <w:rPr>
          <w:sz w:val="22"/>
          <w:szCs w:val="22"/>
        </w:rPr>
        <w:t>của</w:t>
      </w:r>
      <w:proofErr w:type="spellEnd"/>
      <w:r w:rsidRPr="00307780">
        <w:rPr>
          <w:sz w:val="22"/>
          <w:szCs w:val="22"/>
        </w:rPr>
        <w:t xml:space="preserve"> </w:t>
      </w:r>
      <w:proofErr w:type="spellStart"/>
      <w:r w:rsidRPr="00307780">
        <w:rPr>
          <w:sz w:val="22"/>
          <w:szCs w:val="22"/>
        </w:rPr>
        <w:t>dự</w:t>
      </w:r>
      <w:proofErr w:type="spellEnd"/>
      <w:r w:rsidRPr="00307780">
        <w:rPr>
          <w:sz w:val="22"/>
          <w:szCs w:val="22"/>
        </w:rPr>
        <w:t xml:space="preserve"> </w:t>
      </w:r>
      <w:proofErr w:type="spellStart"/>
      <w:r w:rsidRPr="00307780">
        <w:rPr>
          <w:sz w:val="22"/>
          <w:szCs w:val="22"/>
        </w:rPr>
        <w:t>án</w:t>
      </w:r>
      <w:proofErr w:type="spellEnd"/>
      <w:r w:rsidRPr="00307780">
        <w:rPr>
          <w:sz w:val="22"/>
          <w:szCs w:val="22"/>
        </w:rPr>
        <w:t xml:space="preserve"> </w:t>
      </w:r>
      <w:proofErr w:type="spellStart"/>
      <w:r w:rsidRPr="00307780">
        <w:rPr>
          <w:sz w:val="22"/>
          <w:szCs w:val="22"/>
        </w:rPr>
        <w:t>sửa</w:t>
      </w:r>
      <w:proofErr w:type="spellEnd"/>
      <w:r w:rsidRPr="00307780">
        <w:rPr>
          <w:sz w:val="22"/>
          <w:szCs w:val="22"/>
        </w:rPr>
        <w:t xml:space="preserve"> </w:t>
      </w:r>
      <w:proofErr w:type="spellStart"/>
      <w:r w:rsidRPr="00307780">
        <w:rPr>
          <w:sz w:val="22"/>
          <w:szCs w:val="22"/>
        </w:rPr>
        <w:t>đổi</w:t>
      </w:r>
      <w:proofErr w:type="spellEnd"/>
      <w:r w:rsidRPr="00307780">
        <w:rPr>
          <w:sz w:val="22"/>
          <w:szCs w:val="22"/>
        </w:rPr>
        <w:t xml:space="preserve"> </w:t>
      </w:r>
      <w:proofErr w:type="spellStart"/>
      <w:r w:rsidRPr="00307780">
        <w:rPr>
          <w:sz w:val="22"/>
          <w:szCs w:val="22"/>
        </w:rPr>
        <w:t>khuôn</w:t>
      </w:r>
      <w:proofErr w:type="spellEnd"/>
      <w:r w:rsidRPr="00307780">
        <w:rPr>
          <w:sz w:val="22"/>
          <w:szCs w:val="22"/>
        </w:rPr>
        <w:t xml:space="preserve"> </w:t>
      </w:r>
      <w:proofErr w:type="spellStart"/>
      <w:r w:rsidRPr="00307780">
        <w:rPr>
          <w:sz w:val="22"/>
          <w:szCs w:val="22"/>
        </w:rPr>
        <w:t>mẫu</w:t>
      </w:r>
      <w:proofErr w:type="spellEnd"/>
      <w:r w:rsidRPr="00307780">
        <w:rPr>
          <w:sz w:val="22"/>
          <w:szCs w:val="22"/>
        </w:rPr>
        <w:t xml:space="preserve"> </w:t>
      </w:r>
      <w:proofErr w:type="spellStart"/>
      <w:r w:rsidRPr="00307780">
        <w:rPr>
          <w:sz w:val="22"/>
          <w:szCs w:val="22"/>
        </w:rPr>
        <w:t>lý</w:t>
      </w:r>
      <w:proofErr w:type="spellEnd"/>
      <w:r w:rsidRPr="00307780">
        <w:rPr>
          <w:sz w:val="22"/>
          <w:szCs w:val="22"/>
        </w:rPr>
        <w:t xml:space="preserve"> </w:t>
      </w:r>
      <w:proofErr w:type="spellStart"/>
      <w:r w:rsidRPr="00307780">
        <w:rPr>
          <w:sz w:val="22"/>
          <w:szCs w:val="22"/>
        </w:rPr>
        <w:t>thuyết</w:t>
      </w:r>
      <w:proofErr w:type="spellEnd"/>
      <w:r w:rsidRPr="00307780">
        <w:rPr>
          <w:sz w:val="22"/>
          <w:szCs w:val="22"/>
        </w:rPr>
        <w:t xml:space="preserve"> </w:t>
      </w:r>
      <w:proofErr w:type="spellStart"/>
      <w:r w:rsidRPr="00307780">
        <w:rPr>
          <w:sz w:val="22"/>
          <w:szCs w:val="22"/>
        </w:rPr>
        <w:t>cùng</w:t>
      </w:r>
      <w:proofErr w:type="spellEnd"/>
      <w:r w:rsidRPr="00307780">
        <w:rPr>
          <w:sz w:val="22"/>
          <w:szCs w:val="22"/>
        </w:rPr>
        <w:t xml:space="preserve"> </w:t>
      </w:r>
      <w:proofErr w:type="spellStart"/>
      <w:r w:rsidRPr="00307780">
        <w:rPr>
          <w:sz w:val="22"/>
          <w:szCs w:val="22"/>
        </w:rPr>
        <w:t>với</w:t>
      </w:r>
      <w:proofErr w:type="spellEnd"/>
      <w:r w:rsidRPr="00307780">
        <w:rPr>
          <w:sz w:val="22"/>
          <w:szCs w:val="22"/>
        </w:rPr>
        <w:t xml:space="preserve"> FASB.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0237"/>
    <w:multiLevelType w:val="hybridMultilevel"/>
    <w:tmpl w:val="A128EAB2"/>
    <w:lvl w:ilvl="0" w:tplc="0409000F">
      <w:start w:val="1"/>
      <w:numFmt w:val="decimal"/>
      <w:lvlText w:val="%1."/>
      <w:lvlJc w:val="left"/>
      <w:pPr>
        <w:ind w:left="927" w:hanging="360"/>
      </w:pPr>
    </w:lvl>
    <w:lvl w:ilvl="1" w:tplc="49C44DC8">
      <w:start w:val="18"/>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80204D"/>
    <w:rsid w:val="000002AF"/>
    <w:rsid w:val="00095544"/>
    <w:rsid w:val="0010146A"/>
    <w:rsid w:val="00164C3B"/>
    <w:rsid w:val="002B0B65"/>
    <w:rsid w:val="002D0F0F"/>
    <w:rsid w:val="00345D42"/>
    <w:rsid w:val="00384D84"/>
    <w:rsid w:val="003A7D34"/>
    <w:rsid w:val="004F2C57"/>
    <w:rsid w:val="00610D9C"/>
    <w:rsid w:val="00786A87"/>
    <w:rsid w:val="007A57BB"/>
    <w:rsid w:val="0080204D"/>
    <w:rsid w:val="008539B1"/>
    <w:rsid w:val="009A304B"/>
    <w:rsid w:val="00B74BF9"/>
    <w:rsid w:val="00C93E5D"/>
    <w:rsid w:val="00CB7BAC"/>
    <w:rsid w:val="00CF08BF"/>
    <w:rsid w:val="00D833E3"/>
    <w:rsid w:val="00E125D9"/>
    <w:rsid w:val="00EA4D1C"/>
    <w:rsid w:val="00EC35A6"/>
    <w:rsid w:val="00FC3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D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u thich,Footnote Text Char1 Char,Footnote Text Char Char Char,Footnote Text Char1 Char Char Char,Footnote Text Char Char Char Char Char,Footnote Text Char1 Char Char Char Char Char,Footnote Text Char Char Char Char Char Char Ch,fn,f"/>
    <w:basedOn w:val="Normal"/>
    <w:link w:val="FootnoteTextChar"/>
    <w:uiPriority w:val="99"/>
    <w:qFormat/>
    <w:rsid w:val="0080204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u thich Char,Footnote Text Char1 Char Char,Footnote Text Char Char Char Char,Footnote Text Char1 Char Char Char Char,Footnote Text Char Char Char Char Char Char,Footnote Text Char1 Char Char Char Char Char Char,fn Char,f Char"/>
    <w:basedOn w:val="DefaultParagraphFont"/>
    <w:link w:val="FootnoteText"/>
    <w:uiPriority w:val="99"/>
    <w:rsid w:val="0080204D"/>
    <w:rPr>
      <w:rFonts w:ascii="Times New Roman" w:eastAsia="Times New Roman" w:hAnsi="Times New Roman" w:cs="Times New Roman"/>
      <w:sz w:val="20"/>
      <w:szCs w:val="20"/>
      <w:lang w:val="en-US"/>
    </w:rPr>
  </w:style>
  <w:style w:type="character" w:styleId="FootnoteReference">
    <w:name w:val="footnote reference"/>
    <w:aliases w:val="Footnote,ftref,fr,16 Point,Superscript 6 Point,Footnote Ref in FtNote,SUPERS,Footnote dich,Footnote text,BearingPoint,Footnote Text1,(NECG) Footnote Reference,BVI fnr,footnote ref,Ref,de nota al pie,Footnote + Arial,10 pt,Black,R"/>
    <w:uiPriority w:val="99"/>
    <w:qFormat/>
    <w:rsid w:val="0080204D"/>
    <w:rPr>
      <w:vertAlign w:val="superscript"/>
    </w:rPr>
  </w:style>
  <w:style w:type="paragraph" w:styleId="DocumentMap">
    <w:name w:val="Document Map"/>
    <w:basedOn w:val="Normal"/>
    <w:link w:val="DocumentMapChar"/>
    <w:uiPriority w:val="99"/>
    <w:semiHidden/>
    <w:unhideWhenUsed/>
    <w:rsid w:val="008539B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539B1"/>
    <w:rPr>
      <w:rFonts w:ascii="Tahoma" w:hAnsi="Tahoma" w:cs="Tahoma"/>
      <w:sz w:val="16"/>
      <w:szCs w:val="16"/>
    </w:rPr>
  </w:style>
  <w:style w:type="paragraph" w:styleId="BalloonText">
    <w:name w:val="Balloon Text"/>
    <w:basedOn w:val="Normal"/>
    <w:link w:val="BalloonTextChar"/>
    <w:uiPriority w:val="99"/>
    <w:semiHidden/>
    <w:unhideWhenUsed/>
    <w:rsid w:val="00853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9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Le Minh Huong</cp:lastModifiedBy>
  <cp:revision>9</cp:revision>
  <dcterms:created xsi:type="dcterms:W3CDTF">2023-07-24T08:03:00Z</dcterms:created>
  <dcterms:modified xsi:type="dcterms:W3CDTF">2024-05-23T08:12:00Z</dcterms:modified>
</cp:coreProperties>
</file>